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30" w:after="646" w:line="344" w:lineRule="exact"/>
        <w:ind w:right="0" w:left="0" w:firstLine="0"/>
        <w:jc w:val="center"/>
        <w:textAlignment w:val="baseline"/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</w:pP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D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ATES DE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F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ERMETURE DU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G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IBIER D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7"/>
          <w:vertAlign w:val="baseline"/>
          <w:lang w:val="fr-FR"/>
        </w:rPr>
        <w:t xml:space="preserve">’E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AU ET DES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M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IGRATEURS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7"/>
          <w:vertAlign w:val="baseline"/>
          <w:lang w:val="fr-FR"/>
        </w:rPr>
        <w:t xml:space="preserve">–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SAISON 2020/2021 (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TABLEAU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1/2)</w: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2107"/>
        <w:gridCol w:w="2165"/>
        <w:gridCol w:w="1488"/>
        <w:gridCol w:w="4310"/>
      </w:tblGrid>
      <w:tr>
        <w:trPr>
          <w:trHeight w:val="787" w:hRule="exact"/>
        </w:trPr>
        <w:tc>
          <w:tcPr>
            <w:tcW w:w="21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268" w:after="24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GROUPE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268" w:after="24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ESPECE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bottom"/>
          </w:tcPr>
          <w:p>
            <w:pPr>
              <w:spacing w:before="268" w:after="0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FERMETURE</w:t>
            </w:r>
          </w:p>
          <w:p>
            <w:pPr>
              <w:spacing w:before="3" w:after="0" w:line="24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2021 **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268" w:after="24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PARTICULARITES</w:t>
            </w:r>
          </w:p>
        </w:tc>
      </w:tr>
      <w:tr>
        <w:trPr>
          <w:trHeight w:val="279" w:hRule="exact"/>
        </w:trPr>
        <w:tc>
          <w:tcPr>
            <w:tcW w:w="212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700" w:after="685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Oies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Oie cendrée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14" w:line="226" w:lineRule="exact"/>
              <w:ind w:right="0" w:left="101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Sans réponse du MTE à la date du 18/01/21</w:t>
            </w:r>
          </w:p>
        </w:tc>
      </w:tr>
      <w:tr>
        <w:trPr>
          <w:trHeight w:val="27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9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Oie rieuse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9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7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5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Oie des moissons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5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816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02" w:after="278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Bernache du Canada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33" w:after="546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9" w:line="265" w:lineRule="exact"/>
              <w:ind w:right="252" w:left="108" w:firstLine="0"/>
              <w:jc w:val="left"/>
              <w:textAlignment w:val="baseline"/>
              <w:rPr>
                <w:rFonts w:ascii="Calibri" w:hAnsi="Calibri" w:eastAsia="Calibri"/>
                <w:i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i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Arrêté du 02/09/2016 relatif au contrôle par la chasse des populations de certaines espèces non indigènes</w:t>
            </w:r>
          </w:p>
        </w:tc>
      </w:tr>
      <w:tr>
        <w:trPr>
          <w:trHeight w:val="351" w:hRule="exact"/>
        </w:trPr>
        <w:tc>
          <w:tcPr>
            <w:tcW w:w="212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753" w:after="73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Canards Marins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90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Fuligule milouinan</w:t>
            </w:r>
          </w:p>
        </w:tc>
        <w:tc>
          <w:tcPr>
            <w:tcW w:w="577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773" w:after="748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10 février</w:t>
            </w:r>
          </w:p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64" w:after="0" w:line="224" w:lineRule="exact"/>
              <w:ind w:right="0" w:left="72" w:firstLine="0"/>
              <w:jc w:val="left"/>
              <w:textAlignment w:val="baseline"/>
              <w:rPr>
                <w:rFonts w:ascii="Calibri" w:hAnsi="Calibri" w:eastAsia="Calibri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ATTENTION : Du 1</w:t>
            </w: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0"/>
                <w:w w:val="100"/>
                <w:sz w:val="22"/>
                <w:vertAlign w:val="superscript"/>
                <w:lang w:val="fr-FR"/>
              </w:rPr>
              <w:t xml:space="preserve">er</w:t>
            </w: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 au 10 février chasse</w:t>
            </w:r>
          </w:p>
          <w:p>
            <w:pPr>
              <w:tabs>
                <w:tab w:val="left" w:leader="none" w:pos="1080"/>
                <w:tab w:val="left" w:leader="none" w:pos="2736"/>
                <w:tab w:val="left" w:leader="none" w:pos="3312"/>
                <w:tab w:val="right" w:leader="none" w:pos="4176"/>
              </w:tabs>
              <w:spacing w:before="7" w:after="345" w:line="269" w:lineRule="exact"/>
              <w:ind w:right="108" w:left="144" w:firstLine="0"/>
              <w:jc w:val="both"/>
              <w:textAlignment w:val="baseline"/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autorisée	</w:t>
            </w: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uniquement en	</w:t>
            </w: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mer	</w:t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(dans	</w:t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les
</w:t>
              <w:br/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limites de la mer territoriale : laisse de basse-</w:t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mer jusqu’à la limite de</w:t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s 12 miles nautiques)</w:t>
            </w:r>
          </w:p>
        </w:tc>
      </w:tr>
      <w:tr>
        <w:trPr>
          <w:trHeight w:val="350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86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Eider à duvet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355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82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Harelde de Miquelon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351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87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Macreuse noire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350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81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Macreuse brune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28" w:after="302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Canards
</w:t>
              <w:br/>
            </w: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Plongeurs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Fuligule Milouin</w:t>
            </w:r>
          </w:p>
        </w:tc>
        <w:tc>
          <w:tcPr>
            <w:tcW w:w="577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470" w:after="446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Fuligule Morillon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0" w:after="15" w:line="263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Garrot à œil d'or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Nette rousse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756" w:after="73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Canards de
</w:t>
              <w:br/>
            </w: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surface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 colvert</w:t>
            </w:r>
          </w:p>
        </w:tc>
        <w:tc>
          <w:tcPr>
            <w:tcW w:w="577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902" w:after="878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 chipeau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 pilet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 siffleur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Canard souchet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Sarcelle d'été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Sarcelle d'hiver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07" w:after="291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Rallidés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Foulque Macroule</w:t>
            </w:r>
          </w:p>
        </w:tc>
        <w:tc>
          <w:tcPr>
            <w:tcW w:w="577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26" w:after="302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Poule d'eau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8" w:after="1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Râle d'eau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79" w:hRule="exact"/>
        </w:trPr>
        <w:tc>
          <w:tcPr>
            <w:tcW w:w="212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777" w:after="1765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Limicoles
</w:t>
              <w:br/>
            </w: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(Dont vanneau et
</w:t>
              <w:br/>
            </w: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bécassines)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3" w:after="19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Barge rousse</w:t>
            </w:r>
          </w:p>
        </w:tc>
        <w:tc>
          <w:tcPr>
            <w:tcW w:w="577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1915" w:after="2169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bottom"/>
          </w:tcPr>
          <w:p>
            <w:pPr>
              <w:spacing w:before="917" w:after="0" w:line="264" w:lineRule="exact"/>
              <w:ind w:right="432" w:left="108" w:firstLine="0"/>
              <w:jc w:val="left"/>
              <w:textAlignment w:val="baseline"/>
              <w:rPr>
                <w:rFonts w:ascii="Calibri" w:hAnsi="Calibri" w:eastAsia="Calibri"/>
                <w:b w:val="true"/>
                <w:strike w:val="false"/>
                <w:color w:val="000000"/>
                <w:spacing w:val="-2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-2"/>
                <w:w w:val="100"/>
                <w:sz w:val="22"/>
                <w:vertAlign w:val="baseline"/>
                <w:lang w:val="fr-FR"/>
              </w:rPr>
              <w:t xml:space="preserve">* Courlis Cendré : </w:t>
            </w:r>
            <w:r>
              <w:rPr>
                <w:rFonts w:ascii="Calibri" w:hAnsi="Calibri" w:eastAsia="Calibri"/>
                <w:strike w:val="false"/>
                <w:color w:val="000000"/>
                <w:spacing w:val="-2"/>
                <w:w w:val="100"/>
                <w:sz w:val="22"/>
                <w:vertAlign w:val="baseline"/>
                <w:lang w:val="fr-FR"/>
              </w:rPr>
              <w:t xml:space="preserve">j</w:t>
            </w:r>
            <w:r>
              <w:rPr>
                <w:rFonts w:ascii="Calibri" w:hAnsi="Calibri" w:eastAsia="Calibri"/>
                <w:strike w:val="false"/>
                <w:color w:val="000000"/>
                <w:spacing w:val="-2"/>
                <w:w w:val="100"/>
                <w:sz w:val="22"/>
                <w:vertAlign w:val="baseline"/>
                <w:lang w:val="fr-FR"/>
              </w:rPr>
              <w:t xml:space="preserve">usqu’au 30 juillet 202</w:t>
            </w:r>
            <w:r>
              <w:rPr>
                <w:rFonts w:ascii="Calibri" w:hAnsi="Calibri" w:eastAsia="Calibri"/>
                <w:strike w:val="false"/>
                <w:color w:val="000000"/>
                <w:spacing w:val="-2"/>
                <w:w w:val="100"/>
                <w:sz w:val="22"/>
                <w:vertAlign w:val="baseline"/>
                <w:lang w:val="fr-FR"/>
              </w:rPr>
              <w:t xml:space="preserve">1, chasse suspendue </w:t>
            </w:r>
            <w:r>
              <w:rPr>
                <w:rFonts w:ascii="Calibri" w:hAnsi="Calibri" w:eastAsia="Calibri"/>
                <w:strike w:val="false"/>
                <w:color w:val="000000"/>
                <w:spacing w:val="-2"/>
                <w:w w:val="100"/>
                <w:sz w:val="22"/>
                <w:vertAlign w:val="baseline"/>
                <w:lang w:val="fr-FR"/>
              </w:rPr>
              <w:t xml:space="preserve">sur l’ensemble du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i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i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Barge à queue noire</w:t>
            </w: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*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bottom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Bécasseau maubèche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bottom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Bécassine des marais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bottom"/>
          </w:tcPr>
          <w:p/>
        </w:tc>
      </w:tr>
      <w:tr>
        <w:trPr>
          <w:trHeight w:val="302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39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Bécassine sourde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bottom"/>
          </w:tcPr>
          <w:p/>
        </w:tc>
      </w:tr>
      <w:tr>
        <w:trPr>
          <w:trHeight w:val="274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0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Chevalier aboyeur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67" w:after="0" w:line="226" w:lineRule="exact"/>
              <w:ind w:right="0" w:left="72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territoire métropolitain</w:t>
            </w:r>
          </w:p>
          <w:p>
            <w:pPr>
              <w:spacing w:before="268" w:after="9" w:line="269" w:lineRule="exact"/>
              <w:ind w:right="432" w:left="144" w:firstLine="0"/>
              <w:jc w:val="both"/>
              <w:textAlignment w:val="baseline"/>
              <w:rPr>
                <w:rFonts w:ascii="Calibri" w:hAnsi="Calibri" w:eastAsia="Calibri"/>
                <w:b w:val="true"/>
                <w:strike w:val="false"/>
                <w:color w:val="000000"/>
                <w:spacing w:val="-3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-3"/>
                <w:w w:val="100"/>
                <w:sz w:val="22"/>
                <w:vertAlign w:val="baseline"/>
                <w:lang w:val="fr-FR"/>
              </w:rPr>
              <w:t xml:space="preserve">* Barge à queue noire : </w:t>
            </w:r>
            <w:r>
              <w:rPr>
                <w:rFonts w:ascii="Calibri" w:hAnsi="Calibri" w:eastAsia="Calibri"/>
                <w:strike w:val="false"/>
                <w:color w:val="000000"/>
                <w:spacing w:val="-3"/>
                <w:w w:val="100"/>
                <w:sz w:val="22"/>
                <w:vertAlign w:val="baseline"/>
                <w:lang w:val="fr-FR"/>
              </w:rPr>
              <w:t xml:space="preserve">jusqu’au </w:t>
            </w:r>
            <w:r>
              <w:rPr>
                <w:rFonts w:ascii="Calibri" w:hAnsi="Calibri" w:eastAsia="Calibri"/>
                <w:strike w:val="false"/>
                <w:color w:val="000000"/>
                <w:spacing w:val="-3"/>
                <w:w w:val="100"/>
                <w:sz w:val="22"/>
                <w:vertAlign w:val="baseline"/>
                <w:lang w:val="fr-FR"/>
              </w:rPr>
              <w:t xml:space="preserve">30 juillet 2021, chasse suspendue </w:t>
            </w:r>
            <w:r>
              <w:rPr>
                <w:rFonts w:ascii="Calibri" w:hAnsi="Calibri" w:eastAsia="Calibri"/>
                <w:strike w:val="false"/>
                <w:color w:val="000000"/>
                <w:spacing w:val="-3"/>
                <w:w w:val="100"/>
                <w:sz w:val="22"/>
                <w:vertAlign w:val="baseline"/>
                <w:lang w:val="fr-FR"/>
              </w:rPr>
              <w:t xml:space="preserve">sur l’ensemble du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Chevalier arlequin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Chevalier combattant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64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0" w:line="221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Chevalier gambette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312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61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Courlis corlieu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1497" w:line="226" w:lineRule="exact"/>
              <w:ind w:right="0" w:left="101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territoire métropolitain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5" w:line="225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i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i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Courlis cendré</w:t>
            </w: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*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Huîtrier Pie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Pluvier doré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Pluvier argenté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Vanneau huppé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88" w:hRule="exact"/>
        </w:trPr>
        <w:tc>
          <w:tcPr>
            <w:tcW w:w="21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0" w:after="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Alouette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Alouette des champs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31 janvier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0" w:after="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Bécasse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Bécasse des bois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4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20 février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  <w:tr>
        <w:trPr>
          <w:trHeight w:val="288" w:hRule="exact"/>
        </w:trPr>
        <w:tc>
          <w:tcPr>
            <w:tcW w:w="212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282" w:after="268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Tourterelles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23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Tourterelle turque</w:t>
            </w:r>
          </w:p>
        </w:tc>
        <w:tc>
          <w:tcPr>
            <w:tcW w:w="577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01" w:after="279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20 février</w:t>
            </w:r>
          </w:p>
        </w:tc>
        <w:tc>
          <w:tcPr>
            <w:tcW w:w="1008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10" w:line="265" w:lineRule="exact"/>
              <w:ind w:right="252" w:left="108" w:firstLine="0"/>
              <w:jc w:val="left"/>
              <w:textAlignment w:val="baseline"/>
              <w:rPr>
                <w:rFonts w:ascii="Calibri" w:hAnsi="Calibri" w:eastAsia="Calibri"/>
                <w:b w:val="true"/>
                <w:strike w:val="false"/>
                <w:color w:val="000000"/>
                <w:spacing w:val="-1"/>
                <w:w w:val="100"/>
                <w:sz w:val="21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-1"/>
                <w:w w:val="100"/>
                <w:sz w:val="21"/>
                <w:vertAlign w:val="baseline"/>
                <w:lang w:val="fr-FR"/>
              </w:rPr>
              <w:t xml:space="preserve">* </w:t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Par ordonnance du 11 septembre 2020, le </w:t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Conseil d’Etat, statuant en tant que juge des référés, a suspendu l’arrêté d’ouver</w:t>
            </w:r>
            <w:r>
              <w:rPr>
                <w:rFonts w:ascii="Calibri" w:hAnsi="Calibri" w:eastAsia="Calibri"/>
                <w:strike w:val="false"/>
                <w:color w:val="000000"/>
                <w:spacing w:val="-1"/>
                <w:w w:val="100"/>
                <w:sz w:val="22"/>
                <w:vertAlign w:val="baseline"/>
                <w:lang w:val="fr-FR"/>
              </w:rPr>
              <w:t xml:space="preserve">ture</w:t>
            </w:r>
          </w:p>
        </w:tc>
      </w:tr>
      <w:tr>
        <w:trPr>
          <w:trHeight w:val="528" w:hRule="exact"/>
        </w:trPr>
        <w:tc>
          <w:tcPr>
            <w:tcW w:w="212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57" w:after="135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Tourterelle des bois </w:t>
            </w: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*</w:t>
            </w:r>
          </w:p>
        </w:tc>
        <w:tc>
          <w:tcPr>
            <w:tcW w:w="577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008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292" w:hRule="exact"/>
        </w:trPr>
        <w:tc>
          <w:tcPr>
            <w:tcW w:w="21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0" w:after="4" w:line="256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Caille</w:t>
            </w:r>
          </w:p>
        </w:tc>
        <w:tc>
          <w:tcPr>
            <w:tcW w:w="42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15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Caille des blés</w:t>
            </w:r>
          </w:p>
        </w:tc>
        <w:tc>
          <w:tcPr>
            <w:tcW w:w="57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7" w:after="15" w:line="226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20 février</w:t>
            </w:r>
          </w:p>
        </w:tc>
        <w:tc>
          <w:tcPr>
            <w:tcW w:w="1008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w w:val="100"/>
                <w:sz w:val="24"/>
                <w:vertAlign w:val="baseline"/>
                <w:lang w:val="fr-FR"/>
              </w:rPr>
              <w:t xml:space="preserve">
</w:t>
            </w:r>
          </w:p>
        </w:tc>
      </w:tr>
    </w:tbl>
    <w:p>
      <w:pPr>
        <w:spacing w:before="0" w:after="222" w:line="20" w:lineRule="exact"/>
      </w:pPr>
    </w:p>
    <w:p>
      <w:pPr>
        <w:spacing w:before="26" w:after="0" w:line="203" w:lineRule="exact"/>
        <w:ind w:right="0" w:left="144" w:firstLine="0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fr-FR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**A jour à la date du 07/01/2021</w:t>
      </w:r>
    </w:p>
    <w:p>
      <w:pPr>
        <w:sectPr>
          <w:type w:val="nextPage"/>
          <w:pgSz w:w="11909" w:h="16838" w:orient="portrait"/>
          <w:pgMar w:bottom="259" w:top="520" w:right="860" w:left="951" w:header="720" w:footer="720"/>
          <w:titlePg w:val="false"/>
          <w:textDirection w:val="lrTb"/>
        </w:sectPr>
      </w:pPr>
    </w:p>
    <w:p>
      <w:pPr>
        <w:spacing w:before="25" w:after="479" w:line="344" w:lineRule="exact"/>
        <w:ind w:right="0" w:left="0" w:firstLine="0"/>
        <w:jc w:val="center"/>
        <w:textAlignment w:val="baseline"/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</w:pP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D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ATES DE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F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ERMETURE DU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G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IBIER D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7"/>
          <w:vertAlign w:val="baseline"/>
          <w:lang w:val="fr-FR"/>
        </w:rPr>
        <w:t xml:space="preserve">’E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AU ET DES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M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IGRATEURS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7"/>
          <w:vertAlign w:val="baseline"/>
          <w:lang w:val="fr-FR"/>
        </w:rPr>
        <w:t xml:space="preserve">–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SAISON 2020/2021 (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1"/>
          <w:vertAlign w:val="baseline"/>
          <w:lang w:val="fr-FR"/>
        </w:rPr>
        <w:t xml:space="preserve">TABLEAU </w:t>
      </w:r>
      <w:r>
        <w:rPr>
          <w:rFonts w:ascii="Calibri" w:hAnsi="Calibri" w:eastAsia="Calibri"/>
          <w:b w:val="true"/>
          <w:strike w:val="false"/>
          <w:color w:val="5A5A5A"/>
          <w:spacing w:val="0"/>
          <w:w w:val="100"/>
          <w:sz w:val="26"/>
          <w:vertAlign w:val="baseline"/>
          <w:lang w:val="fr-FR"/>
        </w:rPr>
        <w:t xml:space="preserve">2/2)</w:t>
      </w:r>
    </w:p>
    <w:tbl>
      <w:tblPr>
        <w:jc w:val="left"/>
        <w:tblInd w:w="150" w:type="dxa"/>
        <w:tblLayout w:type="fixed"/>
        <w:tblCellMar>
          <w:left w:w="0" w:type="dxa"/>
          <w:right w:w="0" w:type="dxa"/>
        </w:tblCellMar>
      </w:tblPr>
      <w:tblGrid>
        <w:gridCol w:w="2098"/>
        <w:gridCol w:w="2160"/>
        <w:gridCol w:w="1488"/>
        <w:gridCol w:w="4051"/>
      </w:tblGrid>
      <w:tr>
        <w:trPr>
          <w:trHeight w:val="864" w:hRule="exact"/>
        </w:trPr>
        <w:tc>
          <w:tcPr>
            <w:tcW w:w="224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28" w:after="287" w:line="23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GROUPE</w:t>
            </w:r>
          </w:p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28" w:after="287" w:line="23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ESPECE</w:t>
            </w:r>
          </w:p>
        </w:tc>
        <w:tc>
          <w:tcPr>
            <w:tcW w:w="58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203" w:after="0" w:line="23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FERMETURE</w:t>
            </w:r>
          </w:p>
          <w:p>
            <w:pPr>
              <w:spacing w:before="20" w:after="157" w:line="23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2021 **</w:t>
            </w:r>
          </w:p>
        </w:tc>
        <w:tc>
          <w:tcPr>
            <w:tcW w:w="994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328" w:after="287" w:line="23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Particularités</w:t>
            </w:r>
          </w:p>
        </w:tc>
      </w:tr>
      <w:tr>
        <w:trPr>
          <w:trHeight w:val="283" w:hRule="exact"/>
        </w:trPr>
        <w:tc>
          <w:tcPr>
            <w:tcW w:w="2248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438" w:after="393" w:line="23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Colombidés</w:t>
            </w:r>
          </w:p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0" w:after="14" w:line="230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Pigeon biset</w:t>
            </w:r>
          </w:p>
        </w:tc>
        <w:tc>
          <w:tcPr>
            <w:tcW w:w="5896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434" w:after="405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10 février</w:t>
            </w:r>
          </w:p>
        </w:tc>
        <w:tc>
          <w:tcPr>
            <w:tcW w:w="9947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62" w:lineRule="exact"/>
              <w:ind w:right="108" w:left="144" w:firstLine="0"/>
              <w:jc w:val="both"/>
              <w:textAlignment w:val="baseline"/>
              <w:rPr>
                <w:rFonts w:ascii="Calibri" w:hAnsi="Calibri" w:eastAsia="Calibri"/>
                <w:b w:val="true"/>
                <w:strike w:val="false"/>
                <w:color w:val="000000"/>
                <w:spacing w:val="-5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b w:val="true"/>
                <w:strike w:val="false"/>
                <w:color w:val="000000"/>
                <w:spacing w:val="-5"/>
                <w:w w:val="100"/>
                <w:sz w:val="22"/>
                <w:vertAlign w:val="baseline"/>
                <w:lang w:val="fr-FR"/>
              </w:rPr>
              <w:t xml:space="preserve">Pigeon ramier </w:t>
            </w:r>
            <w:r>
              <w:rPr>
                <w:rFonts w:ascii="Calibri" w:hAnsi="Calibri" w:eastAsia="Calibri"/>
                <w:strike w:val="false"/>
                <w:color w:val="000000"/>
                <w:spacing w:val="-5"/>
                <w:w w:val="100"/>
                <w:sz w:val="23"/>
                <w:vertAlign w:val="baseline"/>
                <w:lang w:val="fr-FR"/>
              </w:rPr>
              <w:t xml:space="preserve">: du 11 au 20 février, chasse uniquement à poste fixe matérialisé de</w:t>
            </w:r>
          </w:p>
          <w:p>
            <w:pPr>
              <w:tabs>
                <w:tab w:val="left" w:leader="none" w:pos="648"/>
                <w:tab w:val="left" w:leader="none" w:pos="1656"/>
                <w:tab w:val="left" w:leader="none" w:pos="2088"/>
                <w:tab w:val="right" w:leader="none" w:pos="3960"/>
              </w:tabs>
              <w:spacing w:before="0" w:after="5" w:line="268" w:lineRule="exact"/>
              <w:ind w:right="108" w:left="144" w:firstLine="0"/>
              <w:jc w:val="both"/>
              <w:textAlignment w:val="baseline"/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main	</w:t>
            </w: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d’homme	</w:t>
            </w: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(</w:t>
            </w:r>
            <w:r>
              <w:rPr>
                <w:rFonts w:ascii="Calibri" w:hAnsi="Calibri" w:eastAsia="Calibri"/>
                <w:i w:val="true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cf.	</w:t>
            </w: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note</w:t>
            </w: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superscript"/>
                <w:lang w:val="fr-FR"/>
              </w:rPr>
              <w:t xml:space="preserve">1</w:t>
            </w: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 :	</w:t>
            </w: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dispositions
</w:t>
              <w:br/>
            </w:r>
            <w:r>
              <w:rPr>
                <w:rFonts w:ascii="Calibri" w:hAnsi="Calibri" w:eastAsia="Calibri"/>
                <w:strike w:val="false"/>
                <w:color w:val="000000"/>
                <w:spacing w:val="-4"/>
                <w:w w:val="100"/>
                <w:sz w:val="23"/>
                <w:vertAlign w:val="baseline"/>
                <w:lang w:val="fr-FR"/>
              </w:rPr>
              <w:t xml:space="preserve">particulières pour certains départements)</w:t>
            </w:r>
          </w:p>
        </w:tc>
      </w:tr>
      <w:tr>
        <w:trPr>
          <w:trHeight w:val="317" w:hRule="exact"/>
        </w:trPr>
        <w:tc>
          <w:tcPr>
            <w:tcW w:w="224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50" w:after="28" w:line="229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Pigeon colombin</w:t>
            </w:r>
          </w:p>
        </w:tc>
        <w:tc>
          <w:tcPr>
            <w:tcW w:w="5896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994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480" w:hRule="exact"/>
        </w:trPr>
        <w:tc>
          <w:tcPr>
            <w:tcW w:w="224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131" w:after="106" w:line="229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Pigeon ramier</w:t>
            </w:r>
          </w:p>
        </w:tc>
        <w:tc>
          <w:tcPr>
            <w:tcW w:w="5896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994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403" w:hRule="exact"/>
        </w:trPr>
        <w:tc>
          <w:tcPr>
            <w:tcW w:w="2248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99" w:after="868" w:line="235" w:lineRule="exact"/>
              <w:ind w:right="0" w:left="0" w:firstLine="0"/>
              <w:jc w:val="center"/>
              <w:textAlignment w:val="baseline"/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</w:pPr>
            <w:r>
              <w:rPr>
                <w:rFonts w:ascii="Cambria" w:hAnsi="Cambria" w:eastAsia="Cambria"/>
                <w:b w:val="true"/>
                <w:strike w:val="false"/>
                <w:color w:val="000000"/>
                <w:spacing w:val="0"/>
                <w:w w:val="100"/>
                <w:sz w:val="22"/>
                <w:vertAlign w:val="baseline"/>
                <w:lang w:val="fr-FR"/>
              </w:rPr>
              <w:t xml:space="preserve">Turdidés</w:t>
            </w:r>
          </w:p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35" w:after="127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Grive litorne</w:t>
            </w:r>
          </w:p>
        </w:tc>
        <w:tc>
          <w:tcPr>
            <w:tcW w:w="5896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spacing w:before="894" w:after="881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10 février</w:t>
            </w:r>
          </w:p>
        </w:tc>
        <w:tc>
          <w:tcPr>
            <w:tcW w:w="9947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568" w:after="0" w:line="229" w:lineRule="exact"/>
              <w:ind w:right="0" w:left="144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20 février dans certains départements ou</w:t>
            </w:r>
          </w:p>
          <w:p>
            <w:pPr>
              <w:spacing w:before="40" w:after="0" w:line="227" w:lineRule="exact"/>
              <w:ind w:right="0" w:left="144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cantons et sous certaines conditions</w:t>
            </w:r>
          </w:p>
          <w:p>
            <w:pPr>
              <w:spacing w:before="34" w:after="667" w:line="237" w:lineRule="exact"/>
              <w:ind w:right="0" w:left="144" w:firstLine="0"/>
              <w:jc w:val="left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(</w:t>
            </w:r>
            <w:r>
              <w:rPr>
                <w:rFonts w:ascii="Calibri" w:hAnsi="Calibri" w:eastAsia="Calibri"/>
                <w:i w:val="true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cf</w:t>
            </w: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. note</w:t>
            </w: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superscript"/>
                <w:lang w:val="fr-FR"/>
              </w:rPr>
              <w:t xml:space="preserve">2</w:t>
            </w: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)</w:t>
            </w:r>
          </w:p>
        </w:tc>
      </w:tr>
      <w:tr>
        <w:trPr>
          <w:trHeight w:val="399" w:hRule="exact"/>
        </w:trPr>
        <w:tc>
          <w:tcPr>
            <w:tcW w:w="224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31" w:after="131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Grive mauvis</w:t>
            </w:r>
          </w:p>
        </w:tc>
        <w:tc>
          <w:tcPr>
            <w:tcW w:w="5896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994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403" w:hRule="exact"/>
        </w:trPr>
        <w:tc>
          <w:tcPr>
            <w:tcW w:w="224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136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Grive musicienne</w:t>
            </w:r>
          </w:p>
        </w:tc>
        <w:tc>
          <w:tcPr>
            <w:tcW w:w="5896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994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398" w:hRule="exact"/>
        </w:trPr>
        <w:tc>
          <w:tcPr>
            <w:tcW w:w="224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136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Grive draine</w:t>
            </w:r>
          </w:p>
        </w:tc>
        <w:tc>
          <w:tcPr>
            <w:tcW w:w="5896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994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</w:tr>
      <w:tr>
        <w:trPr>
          <w:trHeight w:val="409" w:hRule="exact"/>
        </w:trPr>
        <w:tc>
          <w:tcPr>
            <w:tcW w:w="224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40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31" w:after="141" w:line="227" w:lineRule="exact"/>
              <w:ind w:right="0" w:left="0" w:firstLine="0"/>
              <w:jc w:val="center"/>
              <w:textAlignment w:val="baseline"/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</w:pPr>
            <w:r>
              <w:rPr>
                <w:rFonts w:ascii="Calibri" w:hAnsi="Calibri" w:eastAsia="Calibri"/>
                <w:strike w:val="false"/>
                <w:color w:val="000000"/>
                <w:spacing w:val="0"/>
                <w:w w:val="100"/>
                <w:sz w:val="23"/>
                <w:vertAlign w:val="baseline"/>
                <w:lang w:val="fr-FR"/>
              </w:rPr>
              <w:t xml:space="preserve">Merle noir</w:t>
            </w:r>
          </w:p>
        </w:tc>
        <w:tc>
          <w:tcPr>
            <w:tcW w:w="5896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994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</w:tr>
    </w:tbl>
    <w:p>
      <w:pPr>
        <w:spacing w:before="0" w:after="200" w:line="20" w:lineRule="exact"/>
      </w:pPr>
    </w:p>
    <w:p>
      <w:pPr>
        <w:spacing w:before="11" w:after="0" w:line="230" w:lineRule="exact"/>
        <w:ind w:right="144" w:left="14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3"/>
          <w:vertAlign w:val="superscript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3"/>
          <w:vertAlign w:val="superscript"/>
          <w:lang w:val="fr-FR"/>
        </w:rPr>
        <w:t xml:space="preserve">1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 Conformément aux dispositions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prévues par l’article 4 de l’AM du 19 janvier 2009 modifié par l’AM du 6 février 2013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publié au JO le 9 février 2013 :</w:t>
      </w:r>
    </w:p>
    <w:p>
      <w:pPr>
        <w:numPr>
          <w:ilvl w:val="0"/>
          <w:numId w:val="2"/>
        </w:numPr>
        <w:tabs>
          <w:tab w:val="clear" w:pos="360"/>
          <w:tab w:val="left" w:pos="864"/>
        </w:tabs>
        <w:spacing w:before="23" w:after="0" w:line="230" w:lineRule="exact"/>
        <w:ind w:right="144" w:left="864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Par exception au tableau ci-dessus,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la chasse du Pigeon ramier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est autorisée du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11 au 20 février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,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à poste fixe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matérialisé de main d’ho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mme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.</w:t>
      </w:r>
    </w:p>
    <w:p>
      <w:pPr>
        <w:numPr>
          <w:ilvl w:val="0"/>
          <w:numId w:val="2"/>
        </w:numPr>
        <w:tabs>
          <w:tab w:val="clear" w:pos="360"/>
          <w:tab w:val="left" w:pos="864"/>
        </w:tabs>
        <w:spacing w:before="15" w:after="0" w:line="230" w:lineRule="exact"/>
        <w:ind w:right="144" w:left="864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Dans le département du Gers, elle ne peut être pratiquée pendant cette période qu’au tir au posé dans les arbres à l’aide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d’appelants vivants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.</w:t>
      </w:r>
    </w:p>
    <w:p>
      <w:pPr>
        <w:numPr>
          <w:ilvl w:val="0"/>
          <w:numId w:val="2"/>
        </w:numPr>
        <w:tabs>
          <w:tab w:val="clear" w:pos="360"/>
          <w:tab w:val="left" w:pos="864"/>
        </w:tabs>
        <w:spacing w:before="9" w:after="0" w:line="230" w:lineRule="exact"/>
        <w:ind w:right="144" w:left="864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Dans les départements de l’Ariège, de l’Aveyron, de la Dordogne, de la Haute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-Garonne, de la Gironde, des Landes, du Lot, de Lot-et-Garonne, des Pyrénées-Atlantiques, des Hautes-Pyrénées, du Tarn et du Tarn-et-Garonne, elle ne peut être pratiquée pendant cette période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qu’au posé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dans les arbres à l’aide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d’appelants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vivants ou artificiels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.</w:t>
      </w:r>
    </w:p>
    <w:p>
      <w:pPr>
        <w:spacing w:before="231" w:after="0" w:line="231" w:lineRule="exact"/>
        <w:ind w:right="144" w:left="144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3"/>
          <w:vertAlign w:val="superscript"/>
          <w:lang w:val="fr-FR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3"/>
          <w:vertAlign w:val="superscript"/>
          <w:lang w:val="fr-FR"/>
        </w:rPr>
        <w:t xml:space="preserve">2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 L’arrêté ministériel du 23 novembre 2015 a modifié la désignation des territoires à l’article 2 de l’arrêté du 19 janvier 2009 pour les départements de la Drôme et de l’Ardèche.</w:t>
      </w:r>
    </w:p>
    <w:p>
      <w:pPr>
        <w:spacing w:before="230" w:after="0" w:line="230" w:lineRule="exact"/>
        <w:ind w:right="144" w:left="144" w:firstLine="0"/>
        <w:jc w:val="both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Ainsi, par exception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au tableau ci-dessus, la chasse des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grives litorne, musicienne, mauvis et draine, ainsi que celle du merle noir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ferme le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20 février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dans les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départements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et les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communes suivants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:</w:t>
      </w:r>
    </w:p>
    <w:p>
      <w:pPr>
        <w:spacing w:before="43" w:after="0" w:line="230" w:lineRule="exact"/>
        <w:ind w:right="144" w:left="144" w:firstLine="0"/>
        <w:jc w:val="both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20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Alpes de Haute-Provence, Hautes-Alpes, Alpes-Maritimes, Ardèche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(communes de Balazuc, Banne, Berrias-et-Casteljau, Bessas, Bidon, Bourg-Saint-Andéol, Chambonas, Gras, Gravières, Labastide-de-Virac, Lagorce, Larnas, Les Assions, Les Salelles, Les Vans, Malarce-sur-la-Thines, Malbosc, Orgnac-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l’Aven, Pradons, Ruoms, Saint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-André-de-Cruzières, Sainte-Marguerite-Lafigère, Saint-Just-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d’Ardèche, Saint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-Marcel-d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’Ardèche, Saint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-Martin-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d’Ardèche, Saint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-Montan, Saint-Paul-le-Jeune, Saint-Pierre- Saint-Jean, Saint-Remèze, Saint-Sauveur-de-Cruzières, Salavas, Sampzon, Vagnas, Vallon-Pont-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d’Arc),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Aude, Aveyron, Bouches-du-Rhône, Haute-Corse, Corse-du-Sud, Drôme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(communes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d’Arnayon, Arpavon, Aubres, Aucelon, Aulan, Ballons, Barnave, Barret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-de-Lioure, Beaumont-en- Diois, Beaurières, Beauvoisin, Bellecombe-Tarendol, Bellegarde-en-Diois, Bénivay-Ollon, Bésignan, Bouchet, Boulc, Brette, Buis-les-Baronnies, Chalancon, Chamaret, Chantemerle-lès-Grignan, Charens, Châteauneuf-de- Bordette, Châtillon-en-Diois, Chaudebonne, Chauvac-Laux-Montaux, Clansayes, Colonzelle, Condorcet, Cornillac, Cornillon-sur-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l’Oule, Curnier,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Donzère, Establet, Eygalayes, Eygaliers, Eyroles, Ferrassières, Glandage, Grignan, Gumiane, Izon-la-Bruisse, Jonchères, La Bâtie-des-Fonds, La Baume-de-Transit, La Charce, La Garde- Adhémar, La Motte-Chalancon, La Penne-sur-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l’Ouvèze, La Roche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-sur-le-Buis, La Rochette-du-Buis, Laborel, Lachau, Le Pègue, Le Poët-en-Percip, Le Poët-Sigillat, Lemps, Les Granges-Gontardes, Les Pilles, Les Prés, Lesches-en-Diois, Luc-en-Diois, Lus-la-Croix-Haute, Menglon, Mérindol-les-Oliviers, Mévouillon, Mirabel-aux- Baronnies, Miscon, Mollans-sur-Ouvèze, Montauban-sur-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l’Ouvèze, 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Montaulieu, Montbrison-sur-Lez, Montbrun- les-Bains, Montferrand-la-Fare, Montfroc, Montguers, Montjoyer, Montlaur-en-Diois, Montréal-les-Sources, Montségur-sur-Lauzon, Nyons, Pelonne, Pennes-le-Sec, Piégon, Pierrelatte, Pierrelongue, Plaisians, Pommerol, Poyols, Pradelle, Propiac, Réauville, Recoubeau-Jansac, Reilhanette, Rémuzat, Rioms, Rochebrune, Rochefourchat, Rochegude, Rottier, Roussas, Rousset-les-Vignes, Roussieux, Sahune, Saint-Auban-sur-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l’Ouvèze, Saint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- Dizier-en-Diois, Sainte-Euphémie-sur-Ouvèze, Sainte-Jalle, Saint-Ferréol-Trente-Pas, Saint-Maurice-sur-Eygues, Saint-May, Saint-Nazaire-le-Désert, Saint-Pantaléon-les-Vignes, Saint-Paul-Trois-Châteaux, Saint-Restitut, Saint- Roman, Saint-Sauveur-Gouvernet, Salles-sous-Bois, Séderon, Solérieux, Suze-la-Rousse, Taulignan, Treschenu- Creyers, Tulette, Valaurie, Valdrôme, Val-Maravel, Valouse, Venterol, Verclause, Vercoiran, Vers-sur-Méouge, Villebois-les-Pins, Villefranche-le-Château, Villeperdrix, Vinsobres et Volvent</w:t>
      </w:r>
      <w:r>
        <w:rPr>
          <w:rFonts w:ascii="Times New Roman" w:hAnsi="Times New Roman" w:eastAsia="Times New Roman"/>
          <w:strike w:val="false"/>
          <w:color w:val="000000"/>
          <w:spacing w:val="1"/>
          <w:w w:val="100"/>
          <w:sz w:val="24"/>
          <w:vertAlign w:val="baseline"/>
          <w:lang w:val="fr-FR"/>
        </w:rPr>
        <w:t xml:space="preserve">),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1"/>
          <w:w w:val="100"/>
          <w:sz w:val="20"/>
          <w:vertAlign w:val="baseline"/>
          <w:lang w:val="fr-FR"/>
        </w:rPr>
        <w:t xml:space="preserve">Gard, Hérault, Lozère, Pyrénées-Orientales, Tarn, Var et Vaucluse.</w:t>
      </w:r>
    </w:p>
    <w:p>
      <w:pPr>
        <w:spacing w:before="234" w:after="0" w:line="230" w:lineRule="exact"/>
        <w:ind w:right="144" w:left="144" w:firstLine="0"/>
        <w:jc w:val="both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ATTENTION :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Sur ces territoires, la chasse des grives et du merle ne peut être pratiquée du 10 au 20 février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qu’à poste fixe matérialisé de main d’homme.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(Arrêté du 12/01/2012, au JO le 31/01/2012 et modifiant l’arrêté du 19/01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/2009).</w:t>
      </w:r>
    </w:p>
    <w:p>
      <w:pPr>
        <w:spacing w:before="264" w:after="0" w:line="203" w:lineRule="exact"/>
        <w:ind w:right="0" w:left="144" w:firstLine="0"/>
        <w:jc w:val="left"/>
        <w:textAlignment w:val="baseline"/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fr-FR"/>
        </w:rPr>
      </w:pPr>
      <w:r>
        <w:rPr>
          <w:rFonts w:ascii="Calibri" w:hAnsi="Calibri" w:eastAsia="Calibri"/>
          <w:strike w:val="false"/>
          <w:color w:val="000000"/>
          <w:spacing w:val="0"/>
          <w:w w:val="100"/>
          <w:sz w:val="20"/>
          <w:vertAlign w:val="baseline"/>
          <w:lang w:val="fr-FR"/>
        </w:rPr>
        <w:t xml:space="preserve">**A jour à la date du 07/01/2021</w:t>
      </w:r>
    </w:p>
    <w:sectPr>
      <w:type w:val="nextPage"/>
      <w:pgSz w:w="11909" w:h="16838" w:orient="portrait"/>
      <w:pgMar w:bottom="259" w:top="520" w:right="905" w:left="90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hAnsi="Symbol" w:eastAsia="Symbol"/>
        <w:strike w:val="false"/>
        <w:color w:val="000000"/>
        <w:spacing w:val="0"/>
        <w:w w:val="100"/>
        <w:sz w:val="20"/>
        <w:vertAlign w:val="baseline"/>
        <w:lang w:val="fr-FR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